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宋体" w:hAnsi="宋体"/>
          <w:b/>
          <w:sz w:val="28"/>
          <w:szCs w:val="28"/>
        </w:rPr>
      </w:pPr>
      <w:r>
        <w:rPr>
          <w:rFonts w:hint="eastAsia" w:ascii="宋体" w:hAnsi="宋体" w:cs="仿宋"/>
          <w:b/>
          <w:sz w:val="28"/>
          <w:szCs w:val="28"/>
          <w:lang w:eastAsia="zh-CN"/>
        </w:rPr>
        <w:t>江铜宏源铜业有限公司年产10万吨阴极铜项目（一期）</w:t>
      </w:r>
      <w:r>
        <w:rPr>
          <w:rFonts w:hint="eastAsia" w:ascii="宋体" w:hAnsi="宋体" w:cs="仿宋"/>
          <w:b/>
          <w:sz w:val="28"/>
          <w:szCs w:val="28"/>
        </w:rPr>
        <w:t>职业病危害控制效果评价报告</w:t>
      </w:r>
      <w:r>
        <w:rPr>
          <w:rFonts w:hint="eastAsia" w:ascii="宋体" w:hAnsi="宋体"/>
          <w:b/>
          <w:sz w:val="28"/>
          <w:szCs w:val="28"/>
        </w:rPr>
        <w:t>公示</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lang w:eastAsia="zh-CN"/>
              </w:rPr>
              <w:t>江铜宏源铜业有限公司年产10万吨阴极铜项目（一期）</w:t>
            </w:r>
            <w:r>
              <w:rPr>
                <w:rFonts w:hint="eastAsia" w:ascii="宋体" w:hAnsi="宋体"/>
                <w:sz w:val="24"/>
              </w:rPr>
              <w:t>职业病危害控制效果评价报告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ZPKKJ23-030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bookmarkStart w:id="0" w:name="_GoBack" w:colFirst="1" w:colLast="5"/>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江铜宏源铜业有限公司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江西省贵溪经济开发区</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秦惠欣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sz w:val="24"/>
                <w:lang w:eastAsia="zh-CN"/>
              </w:rPr>
            </w:pPr>
            <w:r>
              <w:rPr>
                <w:rFonts w:hint="eastAsia" w:ascii="宋体" w:hAnsi="宋体"/>
                <w:sz w:val="24"/>
                <w:lang w:eastAsia="zh-CN"/>
              </w:rPr>
              <w:t>江铜宏源铜业有限公司成立于2019年8月16日，注册地点在江西省贵溪经济开发区，注册资金为25000万人民币。公司主要出资方有江西铜业集团有限公司、贵溪市宏源工贸有限公司、浙江宏达金属冶炼有限公司、贵溪市兴业实业发展有限公司和贵溪市工业控股有限公司。新建在江西省贵溪经济开发区南区建设年产10万吨阴极铜项目（一期）项目，占地面积64600m2，一期占地面积48756m2，建筑面积62647.6m2，总投资100000万元。项目外购阳极铜板为原料，采用电解方式得到阴极铜，项目建成后年产高纯阴极铜10万吨；二期计划利用产生阳极泥提炼回收有价金属，本次职业病危害预评价只进行一期评价。</w:t>
            </w:r>
          </w:p>
          <w:p>
            <w:pPr>
              <w:widowControl/>
              <w:adjustRightInd w:val="0"/>
              <w:snapToGrid w:val="0"/>
              <w:spacing w:line="490" w:lineRule="exact"/>
              <w:ind w:firstLine="480" w:firstLineChars="200"/>
              <w:jc w:val="both"/>
              <w:rPr>
                <w:rFonts w:hint="eastAsia" w:ascii="宋体" w:hAnsi="宋体"/>
                <w:sz w:val="24"/>
                <w:lang w:eastAsia="zh-CN"/>
              </w:rPr>
            </w:pPr>
            <w:r>
              <w:rPr>
                <w:rFonts w:hint="eastAsia" w:ascii="宋体" w:hAnsi="宋体"/>
                <w:sz w:val="24"/>
                <w:lang w:eastAsia="zh-CN"/>
              </w:rPr>
              <w:t>江西贵溪经济开发区分为南区、北区，南区规划主导产业定位为铜加工（含铜冶炼）、节能照明产业，本项目位于开发区南区的西部、北部区域，根据调扩区规划该区域续做大做强铜加工产业（含铜冶炼），江铜宏源铜业有限公司响应号召，大力发展铜精深加工，本项目属于铜冶炼项目，符合园区总体规划和规划相关要求。</w:t>
            </w:r>
          </w:p>
          <w:p>
            <w:pPr>
              <w:widowControl/>
              <w:adjustRightInd w:val="0"/>
              <w:snapToGrid w:val="0"/>
              <w:spacing w:line="490" w:lineRule="exact"/>
              <w:ind w:firstLine="480" w:firstLineChars="200"/>
              <w:jc w:val="both"/>
              <w:rPr>
                <w:rFonts w:hint="eastAsia" w:ascii="宋体" w:hAnsi="宋体"/>
                <w:sz w:val="24"/>
                <w:lang w:eastAsia="zh-CN"/>
              </w:rPr>
            </w:pPr>
            <w:r>
              <w:rPr>
                <w:rFonts w:hint="eastAsia" w:ascii="宋体" w:hAnsi="宋体"/>
                <w:sz w:val="24"/>
                <w:lang w:eastAsia="zh-CN"/>
              </w:rPr>
              <w:t>江铜宏源铜业有限公司年产10万吨阴极铜项目（一期）于2019年09月16日在贵溪市发展和改革委员会进行备案登记，项目统一代码为：2019-360681-32-03-018188。</w:t>
            </w:r>
          </w:p>
          <w:p>
            <w:pPr>
              <w:widowControl/>
              <w:adjustRightInd w:val="0"/>
              <w:snapToGrid w:val="0"/>
              <w:spacing w:line="490" w:lineRule="exact"/>
              <w:ind w:firstLine="480" w:firstLineChars="200"/>
              <w:jc w:val="both"/>
              <w:rPr>
                <w:rFonts w:ascii="仿宋" w:hAnsi="仿宋" w:eastAsia="仿宋_GB2312"/>
                <w:sz w:val="28"/>
                <w:szCs w:val="28"/>
              </w:rPr>
            </w:pPr>
            <w:r>
              <w:rPr>
                <w:rFonts w:hint="eastAsia" w:ascii="宋体" w:hAnsi="宋体"/>
                <w:sz w:val="24"/>
                <w:lang w:eastAsia="zh-CN"/>
              </w:rPr>
              <w:t>该项目自运行以来，根据《中华人民共和国职业病防治法》、《建设项目职业病防护设施“三同时”监督管理办法》(国家安监总局令第90号)的相关要求，为预防、控制和消除职业病危害、保护劳动者健康，为劳动者创造符合国家职业接触限值和卫生要求的工作环境，江铜宏源铜业有限公司委托我公司对该项目进行职业病危害控制效果评价，并编写《江铜宏源铜业有限公司江铜宏源铜业有限公司年产10万吨阴极铜项目（一期）职业病危害控制效果评价报告》。</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杨烨</w:t>
            </w:r>
            <w:r>
              <w:rPr>
                <w:rFonts w:hint="eastAsia" w:ascii="宋体" w:hAnsi="宋体"/>
                <w:sz w:val="24"/>
              </w:rPr>
              <w:t>、</w:t>
            </w:r>
            <w:r>
              <w:rPr>
                <w:rFonts w:hint="eastAsia" w:ascii="宋体" w:hAnsi="宋体"/>
                <w:sz w:val="24"/>
                <w:lang w:eastAsia="zh-CN"/>
              </w:rPr>
              <w:t>熊俊</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2</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秦惠欣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万里超、赵文</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val="en-US" w:eastAsia="zh-CN"/>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6</w:t>
            </w:r>
            <w:r>
              <w:rPr>
                <w:rFonts w:hint="eastAsia" w:ascii="宋体" w:hAnsi="宋体"/>
                <w:sz w:val="24"/>
              </w:rPr>
              <w:t>日</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8</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秦惠欣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jc w:val="both"/>
              <w:rPr>
                <w:rFonts w:hint="eastAsia" w:ascii="宋体" w:hAnsi="宋体" w:eastAsia="宋体" w:cs="Times New Roman"/>
                <w:sz w:val="24"/>
                <w:lang w:eastAsia="zh-CN"/>
              </w:rPr>
            </w:pPr>
            <w:r>
              <w:rPr>
                <w:rFonts w:hint="eastAsia" w:ascii="宋体" w:hAnsi="宋体" w:eastAsia="宋体" w:cs="Times New Roman"/>
                <w:sz w:val="24"/>
                <w:lang w:eastAsia="zh-CN"/>
              </w:rPr>
              <w:t>主要职业病危害因素有：硫酸、盐酸、砷化氢、高温、噪声。</w:t>
            </w:r>
          </w:p>
          <w:p>
            <w:pPr>
              <w:widowControl/>
              <w:adjustRightInd w:val="0"/>
              <w:snapToGrid w:val="0"/>
              <w:spacing w:line="490" w:lineRule="exact"/>
              <w:jc w:val="both"/>
              <w:rPr>
                <w:rFonts w:ascii="宋体" w:hAnsi="宋体"/>
                <w:sz w:val="24"/>
              </w:rPr>
            </w:pPr>
            <w:r>
              <w:rPr>
                <w:rFonts w:hint="eastAsia" w:ascii="宋体" w:hAnsi="宋体" w:eastAsia="宋体" w:cs="Times New Roman"/>
                <w:sz w:val="24"/>
                <w:lang w:eastAsia="zh-CN"/>
              </w:rPr>
              <w:t>检测结果：</w:t>
            </w:r>
            <w:r>
              <w:rPr>
                <w:rFonts w:hint="eastAsia" w:ascii="宋体" w:hAnsi="宋体" w:cs="Times New Roman"/>
                <w:sz w:val="24"/>
                <w:lang w:eastAsia="zh-CN"/>
              </w:rPr>
              <w:t>根据检测结果可知大/小极板电解单元：出装槽工、电调工接触的高温超过职业接触限值；电解液净化单元：电解液净化工接触的高温超过职业接触限值。其余工种</w:t>
            </w:r>
            <w:r>
              <w:rPr>
                <w:rFonts w:hint="eastAsia" w:ascii="宋体" w:hAnsi="宋体" w:eastAsia="宋体" w:cs="Times New Roman"/>
                <w:sz w:val="24"/>
                <w:lang w:eastAsia="zh-CN"/>
              </w:rPr>
              <w:t>所检项目均符合判定依据标准要求。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90" w:lineRule="exact"/>
              <w:ind w:firstLine="480" w:firstLineChars="200"/>
              <w:jc w:val="both"/>
              <w:rPr>
                <w:rFonts w:hint="eastAsia" w:ascii="宋体" w:hAnsi="宋体" w:eastAsia="宋体" w:cs="Times New Roman"/>
                <w:sz w:val="24"/>
              </w:rPr>
            </w:pPr>
            <w:r>
              <w:rPr>
                <w:rFonts w:hint="eastAsia" w:ascii="宋体" w:hAnsi="宋体" w:eastAsia="宋体" w:cs="Times New Roman"/>
                <w:sz w:val="24"/>
              </w:rPr>
              <w:t>本项目为“C322贵金属冶炼”，根据《建设项目职业病危害风险分类管理目录》（国卫办职健发〔2021〕5号）的规定，</w:t>
            </w:r>
            <w:r>
              <w:rPr>
                <w:rFonts w:hint="eastAsia" w:ascii="宋体" w:hAnsi="宋体" w:eastAsia="宋体" w:cs="Times New Roman"/>
                <w:b/>
                <w:bCs/>
                <w:sz w:val="24"/>
              </w:rPr>
              <w:t>属于职业病危害风险分类“严重”的建设项目。</w:t>
            </w:r>
          </w:p>
          <w:p>
            <w:pPr>
              <w:widowControl/>
              <w:adjustRightInd w:val="0"/>
              <w:snapToGrid w:val="0"/>
              <w:spacing w:line="490" w:lineRule="exact"/>
              <w:ind w:firstLine="480" w:firstLineChars="200"/>
              <w:jc w:val="both"/>
              <w:rPr>
                <w:rFonts w:hint="eastAsia" w:ascii="宋体" w:hAnsi="宋体" w:eastAsia="宋体" w:cs="Times New Roman"/>
                <w:sz w:val="24"/>
              </w:rPr>
            </w:pPr>
            <w:r>
              <w:rPr>
                <w:rFonts w:hint="eastAsia" w:ascii="宋体" w:hAnsi="宋体" w:eastAsia="宋体" w:cs="Times New Roman"/>
                <w:sz w:val="24"/>
              </w:rPr>
              <w:t>该项目在生产过程中存在或产生的主要职业病危害因素为：</w:t>
            </w:r>
            <w:r>
              <w:rPr>
                <w:rFonts w:hint="eastAsia" w:ascii="宋体" w:hAnsi="宋体" w:eastAsia="宋体" w:cs="Times New Roman"/>
                <w:b/>
                <w:bCs/>
                <w:sz w:val="24"/>
              </w:rPr>
              <w:t>硫酸、盐酸、砷化氢、高温、噪声。</w:t>
            </w:r>
          </w:p>
          <w:p>
            <w:pPr>
              <w:widowControl/>
              <w:adjustRightInd w:val="0"/>
              <w:snapToGrid w:val="0"/>
              <w:spacing w:line="490" w:lineRule="exact"/>
              <w:ind w:firstLine="480" w:firstLineChars="200"/>
              <w:jc w:val="both"/>
              <w:rPr>
                <w:rFonts w:hint="eastAsia" w:ascii="宋体" w:hAnsi="宋体" w:eastAsia="宋体" w:cs="Times New Roman"/>
                <w:b/>
                <w:bCs/>
                <w:sz w:val="24"/>
                <w:lang w:eastAsia="zh-CN"/>
              </w:rPr>
            </w:pPr>
            <w:r>
              <w:rPr>
                <w:rFonts w:hint="eastAsia" w:ascii="宋体" w:hAnsi="宋体" w:eastAsia="宋体" w:cs="Times New Roman"/>
                <w:sz w:val="24"/>
              </w:rPr>
              <w:t>基于目前生产运行状况，并结合职业病危害因素的危害程度、检测结果、防护设施设置情况、员工作业方式和接触特点等情况，认为本项目的职业病危害关键控制点有：</w:t>
            </w:r>
            <w:r>
              <w:rPr>
                <w:rFonts w:hint="eastAsia" w:ascii="宋体" w:hAnsi="宋体" w:eastAsia="宋体" w:cs="Times New Roman"/>
                <w:b/>
                <w:bCs/>
                <w:sz w:val="24"/>
              </w:rPr>
              <w:t>出装槽工在大、小极板电解单元接触的硫酸、盐酸、砷化氢和高温；行车工在大、小极板电解单元接触的硫酸、盐酸；电调工在大、小极板电解单元接触的硫酸、盐酸和高温；电解液净化工在电解液净化单元接触的硫酸、盐酸和高温</w:t>
            </w:r>
            <w:r>
              <w:rPr>
                <w:rFonts w:hint="eastAsia" w:ascii="宋体" w:hAnsi="宋体" w:eastAsia="宋体" w:cs="Times New Roman"/>
                <w:b/>
                <w:bCs/>
                <w:sz w:val="24"/>
              </w:rPr>
              <w:t>。</w:t>
            </w:r>
          </w:p>
          <w:p>
            <w:pPr>
              <w:autoSpaceDE w:val="0"/>
              <w:autoSpaceDN w:val="0"/>
              <w:adjustRightInd w:val="0"/>
              <w:snapToGrid w:val="0"/>
              <w:spacing w:line="49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对存在问题修改完善后，经评审、验收组成员签字确认，建议《评价报告》通过评审。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yZDNjY2NiOTkwNjgyNDljM2UzNDBkNWVmOTM0YjgifQ=="/>
  </w:docVars>
  <w:rsids>
    <w:rsidRoot w:val="003B3E4B"/>
    <w:rsid w:val="000E58D6"/>
    <w:rsid w:val="001D783C"/>
    <w:rsid w:val="001E2B31"/>
    <w:rsid w:val="001E7E91"/>
    <w:rsid w:val="00201ABB"/>
    <w:rsid w:val="002137CE"/>
    <w:rsid w:val="00222EAF"/>
    <w:rsid w:val="00267723"/>
    <w:rsid w:val="002C6025"/>
    <w:rsid w:val="0036720B"/>
    <w:rsid w:val="0038593C"/>
    <w:rsid w:val="003B3E4B"/>
    <w:rsid w:val="003C6F2B"/>
    <w:rsid w:val="00481067"/>
    <w:rsid w:val="004B1BB3"/>
    <w:rsid w:val="006324CB"/>
    <w:rsid w:val="006C6F15"/>
    <w:rsid w:val="00715B68"/>
    <w:rsid w:val="00785F19"/>
    <w:rsid w:val="007E0A4D"/>
    <w:rsid w:val="008C17E3"/>
    <w:rsid w:val="00996E62"/>
    <w:rsid w:val="00A31BE6"/>
    <w:rsid w:val="00D478EA"/>
    <w:rsid w:val="00EF5425"/>
    <w:rsid w:val="00F6182C"/>
    <w:rsid w:val="00FA0434"/>
    <w:rsid w:val="07317033"/>
    <w:rsid w:val="10497F5C"/>
    <w:rsid w:val="209549B2"/>
    <w:rsid w:val="22047891"/>
    <w:rsid w:val="2288631C"/>
    <w:rsid w:val="29135144"/>
    <w:rsid w:val="2C415F37"/>
    <w:rsid w:val="2E103562"/>
    <w:rsid w:val="35A24AE6"/>
    <w:rsid w:val="3E6A39CB"/>
    <w:rsid w:val="3F3A2EF7"/>
    <w:rsid w:val="4A973AA3"/>
    <w:rsid w:val="4AFE5C27"/>
    <w:rsid w:val="4B665A18"/>
    <w:rsid w:val="643031FF"/>
    <w:rsid w:val="6B1F0F41"/>
    <w:rsid w:val="6D1D15AD"/>
    <w:rsid w:val="75E33EDA"/>
    <w:rsid w:val="7788146B"/>
    <w:rsid w:val="7A8F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415"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4">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paragraph" w:customStyle="1" w:styleId="11">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2">
    <w:name w:val="ZH正文"/>
    <w:basedOn w:val="1"/>
    <w:qFormat/>
    <w:uiPriority w:val="0"/>
    <w:pPr>
      <w:spacing w:line="360" w:lineRule="auto"/>
      <w:ind w:firstLine="200" w:firstLineChars="200"/>
    </w:pPr>
    <w:rPr>
      <w:sz w:val="24"/>
    </w:rPr>
  </w:style>
  <w:style w:type="character" w:customStyle="1" w:styleId="13">
    <w:name w:val="YYC Char"/>
    <w:basedOn w:val="8"/>
    <w:link w:val="14"/>
    <w:qFormat/>
    <w:uiPriority w:val="0"/>
    <w:rPr>
      <w:rFonts w:ascii="仿宋_GB2312" w:eastAsia="仿宋_GB2312" w:cs="宋体"/>
      <w:color w:val="000000"/>
      <w:sz w:val="28"/>
    </w:rPr>
  </w:style>
  <w:style w:type="paragraph" w:customStyle="1" w:styleId="14">
    <w:name w:val="YYC"/>
    <w:basedOn w:val="1"/>
    <w:link w:val="13"/>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5">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1167</Words>
  <Characters>1232</Characters>
  <Lines>5</Lines>
  <Paragraphs>1</Paragraphs>
  <TotalTime>1</TotalTime>
  <ScaleCrop>false</ScaleCrop>
  <LinksUpToDate>false</LinksUpToDate>
  <CharactersWithSpaces>1232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杨</cp:lastModifiedBy>
  <dcterms:modified xsi:type="dcterms:W3CDTF">2023-10-07T09:00:53Z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A34D052BD2E54F73BEFF308F8C187B19</vt:lpwstr>
  </property>
</Properties>
</file>