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center"/>
        <w:outlineLvl w:val="0"/>
        <w:rPr>
          <w:rFonts w:hint="eastAsia" w:ascii="宋体" w:hAnsi="宋体" w:cs="仿宋"/>
          <w:b/>
          <w:sz w:val="28"/>
          <w:szCs w:val="28"/>
          <w:lang w:eastAsia="zh-CN"/>
        </w:rPr>
      </w:pPr>
      <w:r>
        <w:rPr>
          <w:rFonts w:hint="eastAsia" w:ascii="宋体" w:hAnsi="宋体" w:cs="仿宋"/>
          <w:b/>
          <w:sz w:val="28"/>
          <w:szCs w:val="28"/>
          <w:lang w:eastAsia="zh-CN"/>
        </w:rPr>
        <w:t>上高县瑞雅精细化工有限公司异地搬迁项目（一期）</w:t>
      </w:r>
    </w:p>
    <w:p>
      <w:pPr>
        <w:spacing w:line="300" w:lineRule="exact"/>
        <w:jc w:val="center"/>
        <w:outlineLvl w:val="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 w:cs="仿宋"/>
          <w:b/>
          <w:sz w:val="28"/>
          <w:szCs w:val="28"/>
        </w:rPr>
        <w:t>职业病危害控制效果评价报告</w:t>
      </w:r>
      <w:r>
        <w:rPr>
          <w:rFonts w:hint="eastAsia" w:ascii="宋体" w:hAnsi="宋体"/>
          <w:b/>
          <w:sz w:val="28"/>
          <w:szCs w:val="28"/>
        </w:rPr>
        <w:t>公示</w:t>
      </w:r>
    </w:p>
    <w:tbl>
      <w:tblPr>
        <w:tblStyle w:val="6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340"/>
        <w:gridCol w:w="180"/>
        <w:gridCol w:w="523"/>
        <w:gridCol w:w="2357"/>
        <w:gridCol w:w="388"/>
        <w:gridCol w:w="872"/>
        <w:gridCol w:w="133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7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上高县瑞雅精细化工有限公司异地搬迁项目（一期）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职业病危害控制效果评价报告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报告书编号</w:t>
            </w:r>
          </w:p>
        </w:tc>
        <w:tc>
          <w:tcPr>
            <w:tcW w:w="77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ZPKKJ23-048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建设单位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江西胜垒实业有限公司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地理位置</w:t>
            </w: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cs="Times New Roman"/>
                <w:sz w:val="24"/>
                <w:lang w:val="en-US" w:eastAsia="zh-CN"/>
              </w:rPr>
              <w:t>上高县工业园黄金堆园区化工区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付佳伟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项目简介</w:t>
            </w:r>
          </w:p>
        </w:tc>
        <w:tc>
          <w:tcPr>
            <w:tcW w:w="77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90" w:lineRule="exact"/>
              <w:ind w:firstLine="480" w:firstLineChars="200"/>
              <w:rPr>
                <w:rFonts w:hint="default" w:ascii="仿宋" w:hAnsi="仿宋" w:eastAsia="仿宋_GB2312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上高县瑞雅精细化工有限公司原厂区位于上高县工业园清源路南，是一家专业生产医药及中间体的医药化工企业。随着企业的发展壮大和市场对本项目生产产品的需求日益增长，企业有扩大生产的需求；同时原项目的选址已与园区规划不符，综合上述因素，上高县瑞雅精细化工有限公司对现有医药化工的生产线进行搬迁，搬入上高工业园黄金堆化工区的新厂生产）。现已完成了一期建设，达产产能：年产300t P-204稀土萃取剂、100t 6-氰基-7-甲基-1，5-二羟基-2-甲氧羰基中氮茚（ZDY）、180t 2，6-二氟苯甲酰胺。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现场调查人员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熊俊、雷化风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23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建设单位陪同人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付佳伟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auto"/>
                <w:kern w:val="0"/>
                <w:sz w:val="24"/>
              </w:rPr>
            </w:pPr>
            <w:r>
              <w:rPr>
                <w:rFonts w:hint="eastAsia"/>
                <w:b/>
                <w:color w:val="auto"/>
                <w:kern w:val="0"/>
                <w:sz w:val="24"/>
              </w:rPr>
              <w:t>现场采样、检测人员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万里超、仇伟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auto"/>
                <w:kern w:val="0"/>
                <w:sz w:val="24"/>
              </w:rPr>
            </w:pPr>
            <w:r>
              <w:rPr>
                <w:rFonts w:hint="eastAsia"/>
                <w:b/>
                <w:color w:val="auto"/>
                <w:kern w:val="0"/>
                <w:sz w:val="24"/>
              </w:rPr>
              <w:t>时间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2023</w:t>
            </w:r>
            <w:r>
              <w:rPr>
                <w:rFonts w:hint="eastAsia" w:ascii="宋体" w:hAnsi="宋体"/>
                <w:color w:val="auto"/>
                <w:sz w:val="24"/>
              </w:rPr>
              <w:t>年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24"/>
              </w:rPr>
              <w:t>月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29</w:t>
            </w:r>
            <w:r>
              <w:rPr>
                <w:rFonts w:hint="eastAsia" w:ascii="宋体" w:hAnsi="宋体"/>
                <w:color w:val="auto"/>
                <w:sz w:val="24"/>
              </w:rPr>
              <w:t>日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-31日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建设单位陪同人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付佳伟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建设项目存在的职业病危害因素及检测结果</w:t>
            </w:r>
          </w:p>
        </w:tc>
        <w:tc>
          <w:tcPr>
            <w:tcW w:w="77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4" w:lineRule="auto"/>
              <w:ind w:firstLine="480" w:firstLineChars="200"/>
              <w:rPr>
                <w:rFonts w:hint="eastAsia"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主要职业病</w:t>
            </w:r>
            <w:r>
              <w:rPr>
                <w:rFonts w:hint="eastAsia" w:ascii="宋体" w:hAnsi="宋体" w:eastAsia="宋体" w:cs="Times New Roman"/>
                <w:sz w:val="24"/>
              </w:rPr>
              <w:t>危害因素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有：</w:t>
            </w: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粉尘（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其他粉尘</w:t>
            </w: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）、化学因素（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磷酸、氯化氢、氧化钙、丙酮、甲苯、N，N二甲基甲酰胺、甲醇、丙烯酸甲酯、</w:t>
            </w: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氯、乙酸、</w:t>
            </w:r>
            <w:r>
              <w:rPr>
                <w:rFonts w:hint="default" w:ascii="宋体" w:hAnsi="宋体" w:eastAsia="宋体" w:cs="Times New Roman"/>
                <w:sz w:val="24"/>
                <w:lang w:eastAsia="zh-CN"/>
              </w:rPr>
              <w:t>氟化</w:t>
            </w: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物、过氧化氢、氨、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硫化氢、硫酸</w:t>
            </w: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）、物理因素（噪声、高温）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324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检测结果：</w:t>
            </w:r>
            <w:r>
              <w:rPr>
                <w:rFonts w:hint="default" w:ascii="宋体" w:hAnsi="宋体" w:eastAsia="宋体" w:cs="Times New Roman"/>
                <w:sz w:val="24"/>
                <w:lang w:val="en-US" w:eastAsia="zh-CN"/>
              </w:rPr>
              <w:t>P-204稀土萃取剂生产/水解工、P-204稀土萃取剂生产/蒸馏工、乙酰丙酮酸乙酯生产/ZDYO1合成工、乙酰丙酮酸乙酯生产/洗涤工、2-乙氧基-4-羰基-2-戊烯酸乙酯/蒸馏工、3-氰基-4-甲基-2-羰基-6-甲酸乙酯生产/ZDYO3合成工、3-氰基-4-甲基-2-羰基-6-甲酸乙酯生产/蒸馏工、ZDY生产/水洗工、2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，</w:t>
            </w:r>
            <w:r>
              <w:rPr>
                <w:rFonts w:hint="default" w:ascii="宋体" w:hAnsi="宋体" w:eastAsia="宋体" w:cs="Times New Roman"/>
                <w:sz w:val="24"/>
                <w:lang w:val="en-US" w:eastAsia="zh-CN"/>
              </w:rPr>
              <w:t>6-二氯氯苄合成/氯化工、2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，</w:t>
            </w:r>
            <w:r>
              <w:rPr>
                <w:rFonts w:hint="default" w:ascii="宋体" w:hAnsi="宋体" w:eastAsia="宋体" w:cs="Times New Roman"/>
                <w:sz w:val="24"/>
                <w:lang w:val="en-US" w:eastAsia="zh-CN"/>
              </w:rPr>
              <w:t>6-二氯氯苄合成/蒸馏工、2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，</w:t>
            </w:r>
            <w:r>
              <w:rPr>
                <w:rFonts w:hint="default" w:ascii="宋体" w:hAnsi="宋体" w:eastAsia="宋体" w:cs="Times New Roman"/>
                <w:sz w:val="24"/>
                <w:lang w:val="en-US" w:eastAsia="zh-CN"/>
              </w:rPr>
              <w:t>6-二氟苯腈的合成/2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，</w:t>
            </w:r>
            <w:r>
              <w:rPr>
                <w:rFonts w:hint="default" w:ascii="宋体" w:hAnsi="宋体" w:eastAsia="宋体" w:cs="Times New Roman"/>
                <w:sz w:val="24"/>
                <w:lang w:val="en-US" w:eastAsia="zh-CN"/>
              </w:rPr>
              <w:t>6－二氟苯腈合成工、2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，</w:t>
            </w:r>
            <w:r>
              <w:rPr>
                <w:rFonts w:hint="default" w:ascii="宋体" w:hAnsi="宋体" w:eastAsia="宋体" w:cs="Times New Roman"/>
                <w:sz w:val="24"/>
                <w:lang w:val="en-US" w:eastAsia="zh-CN"/>
              </w:rPr>
              <w:t>6-二氟苯甲酰胺的合成/2，6-二氟苯甲酰胺合成工接触的高温强度超标。其他各工种接触的职业病危害因素浓/强度均符合限值要求。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评价结论及建议</w:t>
            </w:r>
          </w:p>
        </w:tc>
        <w:tc>
          <w:tcPr>
            <w:tcW w:w="77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9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该项目</w:t>
            </w:r>
            <w:r>
              <w:rPr>
                <w:rFonts w:ascii="宋体" w:hAnsi="宋体" w:cs="Times New Roman"/>
                <w:sz w:val="24"/>
              </w:rPr>
              <w:t>属</w:t>
            </w:r>
            <w:r>
              <w:rPr>
                <w:rFonts w:ascii="宋体" w:hAnsi="宋体" w:eastAsia="宋体" w:cs="Times New Roman"/>
                <w:sz w:val="24"/>
              </w:rPr>
              <w:t>于</w:t>
            </w:r>
            <w:r>
              <w:rPr>
                <w:rFonts w:hint="eastAsia" w:ascii="宋体" w:hAnsi="宋体" w:eastAsia="宋体" w:cs="Times New Roman"/>
                <w:sz w:val="24"/>
              </w:rPr>
              <w:t>“</w:t>
            </w:r>
            <w:bookmarkStart w:id="0" w:name="_GoBack"/>
            <w:bookmarkEnd w:id="0"/>
            <w:r>
              <w:rPr>
                <w:rFonts w:hint="eastAsia" w:ascii="宋体" w:hAnsi="宋体" w:cs="Times New Roman"/>
                <w:sz w:val="24"/>
                <w:lang w:val="en-US" w:eastAsia="zh-CN"/>
              </w:rPr>
              <w:t>化学药品原料药制造</w:t>
            </w:r>
            <w:r>
              <w:rPr>
                <w:rFonts w:hint="eastAsia" w:ascii="宋体" w:hAnsi="宋体" w:eastAsia="宋体" w:cs="Times New Roman"/>
                <w:sz w:val="24"/>
              </w:rPr>
              <w:t>”</w:t>
            </w:r>
            <w:r>
              <w:rPr>
                <w:rFonts w:ascii="宋体" w:hAnsi="宋体" w:eastAsia="宋体" w:cs="Times New Roman"/>
                <w:sz w:val="24"/>
              </w:rPr>
              <w:t>。综合考虑项目工作场所职业病危害因素的毒理学特征、浓度（强度）、潜在危险性、接</w:t>
            </w:r>
            <w:r>
              <w:rPr>
                <w:rFonts w:ascii="宋体" w:hAnsi="宋体" w:cs="Times New Roman"/>
                <w:sz w:val="24"/>
              </w:rPr>
              <w:t>触人数、接触频度、接触时间及职业病防护设施等情况，该项目职业病危害风险程度与其在《目录》中所列行业职业病危害的风险程度无明显区别，</w:t>
            </w:r>
            <w:r>
              <w:rPr>
                <w:rFonts w:hint="eastAsia" w:ascii="宋体" w:hAnsi="宋体" w:cs="Times New Roman"/>
                <w:sz w:val="24"/>
              </w:rPr>
              <w:t>因此该</w:t>
            </w:r>
            <w:r>
              <w:rPr>
                <w:rFonts w:ascii="宋体" w:hAnsi="宋体" w:cs="Times New Roman"/>
                <w:sz w:val="24"/>
              </w:rPr>
              <w:t>项目</w:t>
            </w:r>
            <w:r>
              <w:rPr>
                <w:rFonts w:hint="eastAsia" w:ascii="宋体" w:hAnsi="宋体" w:cs="Times New Roman"/>
                <w:sz w:val="24"/>
              </w:rPr>
              <w:t>职业病危害风险分类为“</w:t>
            </w:r>
            <w:r>
              <w:rPr>
                <w:rFonts w:hint="eastAsia" w:ascii="宋体" w:hAnsi="宋体" w:cs="Times New Roman"/>
                <w:sz w:val="24"/>
                <w:lang w:eastAsia="zh-CN"/>
              </w:rPr>
              <w:t>严重</w:t>
            </w:r>
            <w:r>
              <w:rPr>
                <w:rFonts w:hint="eastAsia" w:ascii="宋体" w:hAnsi="宋体" w:cs="Times New Roman"/>
                <w:sz w:val="24"/>
              </w:rPr>
              <w:t>”</w:t>
            </w:r>
            <w:r>
              <w:rPr>
                <w:rFonts w:ascii="宋体" w:hAnsi="宋体" w:cs="Times New Roman"/>
                <w:sz w:val="24"/>
              </w:rPr>
              <w:t>。正常生产过程中，</w:t>
            </w:r>
            <w:r>
              <w:rPr>
                <w:rFonts w:hint="eastAsia" w:ascii="宋体" w:hAnsi="宋体" w:cs="Times New Roman"/>
                <w:sz w:val="24"/>
                <w:lang w:eastAsia="zh-CN"/>
              </w:rPr>
              <w:t>上高县瑞雅精细化工有限公司异地搬迁项目（一期）</w:t>
            </w:r>
            <w:r>
              <w:rPr>
                <w:rFonts w:hint="eastAsia" w:ascii="宋体" w:hAnsi="宋体" w:cs="Times New Roman"/>
                <w:sz w:val="24"/>
              </w:rPr>
              <w:t>在</w:t>
            </w:r>
            <w:r>
              <w:rPr>
                <w:rFonts w:ascii="宋体" w:hAnsi="宋体" w:cs="Times New Roman"/>
                <w:sz w:val="24"/>
              </w:rPr>
              <w:t>采取了本报告所</w:t>
            </w:r>
            <w:r>
              <w:rPr>
                <w:rFonts w:ascii="宋体" w:hAnsi="宋体"/>
                <w:sz w:val="24"/>
              </w:rPr>
              <w:t>提措施建议的情况下，能满足《中华人民共和国职业病防治法》、《工业企业设计卫生标准》以及相关职业卫生法律法规、标准的要求。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技术审查专家组</w:t>
            </w:r>
          </w:p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评审意见</w:t>
            </w:r>
          </w:p>
        </w:tc>
        <w:tc>
          <w:tcPr>
            <w:tcW w:w="77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对存在问题修改完善后，经评审、验收组成员签字确认，建议《评价报告》通过评审。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1NGJjNzk4NTk3Y2I1ODE3MTMyMTZhMDBiY2I0ZjUifQ=="/>
  </w:docVars>
  <w:rsids>
    <w:rsidRoot w:val="003B3E4B"/>
    <w:rsid w:val="000E58D6"/>
    <w:rsid w:val="001D783C"/>
    <w:rsid w:val="001E2B31"/>
    <w:rsid w:val="001E7E91"/>
    <w:rsid w:val="00201ABB"/>
    <w:rsid w:val="002137CE"/>
    <w:rsid w:val="00222EAF"/>
    <w:rsid w:val="00267723"/>
    <w:rsid w:val="002C6025"/>
    <w:rsid w:val="0036720B"/>
    <w:rsid w:val="0038593C"/>
    <w:rsid w:val="003B3E4B"/>
    <w:rsid w:val="003C6F2B"/>
    <w:rsid w:val="00481067"/>
    <w:rsid w:val="004B1BB3"/>
    <w:rsid w:val="006324CB"/>
    <w:rsid w:val="006C6F15"/>
    <w:rsid w:val="00715B68"/>
    <w:rsid w:val="00785F19"/>
    <w:rsid w:val="007E0A4D"/>
    <w:rsid w:val="008C17E3"/>
    <w:rsid w:val="00996E62"/>
    <w:rsid w:val="00A31BE6"/>
    <w:rsid w:val="00D478EA"/>
    <w:rsid w:val="00EF5425"/>
    <w:rsid w:val="00F6182C"/>
    <w:rsid w:val="00FA0434"/>
    <w:rsid w:val="05CA772C"/>
    <w:rsid w:val="07317033"/>
    <w:rsid w:val="0DEA4D61"/>
    <w:rsid w:val="10497F5C"/>
    <w:rsid w:val="11833D60"/>
    <w:rsid w:val="141169C7"/>
    <w:rsid w:val="1DD64CE9"/>
    <w:rsid w:val="209549B2"/>
    <w:rsid w:val="215006A1"/>
    <w:rsid w:val="22047891"/>
    <w:rsid w:val="2288631C"/>
    <w:rsid w:val="272D6509"/>
    <w:rsid w:val="28270C13"/>
    <w:rsid w:val="29135144"/>
    <w:rsid w:val="29754368"/>
    <w:rsid w:val="2A99768C"/>
    <w:rsid w:val="2C415F37"/>
    <w:rsid w:val="2E103562"/>
    <w:rsid w:val="35A24AE6"/>
    <w:rsid w:val="3B231678"/>
    <w:rsid w:val="3C3B23A6"/>
    <w:rsid w:val="3F3A2EF7"/>
    <w:rsid w:val="41B356C1"/>
    <w:rsid w:val="48935E28"/>
    <w:rsid w:val="4A904656"/>
    <w:rsid w:val="4A973AA3"/>
    <w:rsid w:val="4B665A18"/>
    <w:rsid w:val="4CA81734"/>
    <w:rsid w:val="4EF73C26"/>
    <w:rsid w:val="4F6F6862"/>
    <w:rsid w:val="4FE00057"/>
    <w:rsid w:val="52C56FE0"/>
    <w:rsid w:val="6192035A"/>
    <w:rsid w:val="643031FF"/>
    <w:rsid w:val="66C85F24"/>
    <w:rsid w:val="6A117670"/>
    <w:rsid w:val="6D1D15AD"/>
    <w:rsid w:val="6FD41591"/>
    <w:rsid w:val="73F1717F"/>
    <w:rsid w:val="75E33EDA"/>
    <w:rsid w:val="75F447F7"/>
    <w:rsid w:val="7788146B"/>
    <w:rsid w:val="7A8F0A4F"/>
    <w:rsid w:val="7AE8409F"/>
    <w:rsid w:val="7F0C6FCA"/>
    <w:rsid w:val="7F94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tabs>
        <w:tab w:val="left" w:pos="4344"/>
      </w:tabs>
      <w:autoSpaceDE w:val="0"/>
      <w:autoSpaceDN w:val="0"/>
      <w:adjustRightInd w:val="0"/>
      <w:spacing w:line="457" w:lineRule="exact"/>
      <w:ind w:firstLine="569" w:firstLineChars="200"/>
      <w:jc w:val="left"/>
    </w:pPr>
    <w:rPr>
      <w:rFonts w:ascii="仿宋_GB2312" w:hAnsi="仿宋_GB2312" w:eastAsia="仿宋_GB2312"/>
      <w:color w:val="000000"/>
      <w:w w:val="102"/>
      <w:kern w:val="0"/>
      <w:sz w:val="28"/>
      <w:szCs w:val="28"/>
      <w:lang w:val="zh-CN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paragraph" w:customStyle="1" w:styleId="10">
    <w:name w:val="样式 宋体 四号 黑色 行距: 1.5 倍行距"/>
    <w:basedOn w:val="1"/>
    <w:qFormat/>
    <w:uiPriority w:val="0"/>
    <w:pPr>
      <w:spacing w:line="360" w:lineRule="auto"/>
      <w:ind w:firstLine="560" w:firstLineChars="200"/>
      <w:jc w:val="left"/>
    </w:pPr>
    <w:rPr>
      <w:rFonts w:ascii="宋体" w:hAnsi="宋体" w:cs="宋体"/>
      <w:sz w:val="28"/>
      <w:szCs w:val="28"/>
    </w:rPr>
  </w:style>
  <w:style w:type="paragraph" w:customStyle="1" w:styleId="11">
    <w:name w:val="ZH正文"/>
    <w:basedOn w:val="1"/>
    <w:qFormat/>
    <w:uiPriority w:val="0"/>
    <w:pPr>
      <w:spacing w:line="360" w:lineRule="auto"/>
      <w:ind w:firstLine="200" w:firstLineChars="200"/>
    </w:pPr>
    <w:rPr>
      <w:sz w:val="24"/>
    </w:rPr>
  </w:style>
  <w:style w:type="character" w:customStyle="1" w:styleId="12">
    <w:name w:val="YYC Char"/>
    <w:basedOn w:val="7"/>
    <w:link w:val="13"/>
    <w:qFormat/>
    <w:uiPriority w:val="0"/>
    <w:rPr>
      <w:rFonts w:ascii="仿宋_GB2312" w:eastAsia="仿宋_GB2312" w:cs="宋体"/>
      <w:color w:val="000000"/>
      <w:sz w:val="28"/>
    </w:rPr>
  </w:style>
  <w:style w:type="paragraph" w:customStyle="1" w:styleId="13">
    <w:name w:val="YYC"/>
    <w:basedOn w:val="1"/>
    <w:link w:val="12"/>
    <w:qFormat/>
    <w:uiPriority w:val="0"/>
    <w:pPr>
      <w:spacing w:line="490" w:lineRule="exact"/>
      <w:ind w:firstLine="560" w:firstLineChars="200"/>
    </w:pPr>
    <w:rPr>
      <w:rFonts w:ascii="仿宋_GB2312" w:eastAsia="仿宋_GB2312" w:cs="宋体" w:hAnsiTheme="minorHAnsi"/>
      <w:color w:val="000000"/>
      <w:sz w:val="28"/>
      <w:szCs w:val="22"/>
    </w:rPr>
  </w:style>
  <w:style w:type="paragraph" w:customStyle="1" w:styleId="14">
    <w:name w:val="报告书正文2"/>
    <w:basedOn w:val="1"/>
    <w:qFormat/>
    <w:uiPriority w:val="0"/>
    <w:pPr>
      <w:spacing w:line="460" w:lineRule="exact"/>
      <w:ind w:firstLine="560" w:firstLineChars="200"/>
    </w:pPr>
    <w:rPr>
      <w:rFonts w:ascii="Calibri" w:hAnsi="Calibri" w:eastAsia="仿宋_GB2312"/>
      <w:kern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727</Words>
  <Characters>769</Characters>
  <Lines>5</Lines>
  <Paragraphs>1</Paragraphs>
  <TotalTime>0</TotalTime>
  <ScaleCrop>false</ScaleCrop>
  <LinksUpToDate>false</LinksUpToDate>
  <CharactersWithSpaces>769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2018-02-05T07:37:00Z</dcterms:created>
  <dc:creator>User</dc:creator>
  <cp:lastModifiedBy>Administrator</cp:lastModifiedBy>
  <dcterms:modified xsi:type="dcterms:W3CDTF">2023-12-01T02:27:38Z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EAAFD78940D84A9B8596CE2DB7857A64</vt:lpwstr>
  </property>
</Properties>
</file>